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C9950" wp14:editId="2BD25F51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AF402E" w:rsidRPr="001C51E9" w:rsidRDefault="00AF402E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(изм.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№ 153 от 01.03.2023 года)</w:t>
      </w:r>
      <w:bookmarkStart w:id="0" w:name="_GoBack"/>
      <w:bookmarkEnd w:id="0"/>
    </w:p>
    <w:p w:rsidR="001C51E9" w:rsidRPr="001C51E9" w:rsidRDefault="008214AA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747 021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740 683,6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A9554E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6 337,4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549 305,6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549 305,6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605 465,4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5126C4">
        <w:rPr>
          <w:rFonts w:ascii="Times New Roman" w:hAnsi="Times New Roman" w:cs="Times New Roman"/>
          <w:sz w:val="28"/>
          <w:szCs w:val="28"/>
          <w:lang w:eastAsia="ru-RU"/>
        </w:rPr>
        <w:t>605 465,4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66C" w:rsidRDefault="00E3366C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E33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E3366C">
        <w:rPr>
          <w:rFonts w:ascii="Times New Roman" w:eastAsia="Times New Roman" w:hAnsi="Times New Roman" w:cs="Times New Roman"/>
          <w:sz w:val="20"/>
          <w:szCs w:val="20"/>
          <w:lang w:eastAsia="ru-RU"/>
        </w:rPr>
        <w:t>136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CA096C">
        <w:rPr>
          <w:rFonts w:ascii="Times New Roman" w:hAnsi="Times New Roman" w:cs="Times New Roman"/>
          <w:sz w:val="28"/>
          <w:szCs w:val="28"/>
          <w:lang w:eastAsia="ru-RU"/>
        </w:rPr>
        <w:t>740 683,6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CA0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556 817,2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CA096C">
        <w:rPr>
          <w:rFonts w:ascii="Times New Roman" w:hAnsi="Times New Roman" w:cs="Times New Roman"/>
          <w:sz w:val="28"/>
          <w:szCs w:val="28"/>
          <w:lang w:eastAsia="ru-RU"/>
        </w:rPr>
        <w:t>747 021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CA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6 337,4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42090">
        <w:rPr>
          <w:rFonts w:ascii="Times New Roman" w:hAnsi="Times New Roman" w:cs="Times New Roman"/>
          <w:sz w:val="28"/>
          <w:szCs w:val="28"/>
          <w:lang w:eastAsia="ru-RU"/>
        </w:rPr>
        <w:t>549 305,6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F42090">
        <w:rPr>
          <w:rFonts w:ascii="Times New Roman" w:hAnsi="Times New Roman" w:cs="Times New Roman"/>
          <w:sz w:val="28"/>
          <w:szCs w:val="28"/>
          <w:lang w:eastAsia="ru-RU"/>
        </w:rPr>
        <w:t>605 465,4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F420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364 659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2090">
        <w:rPr>
          <w:rFonts w:ascii="Times New Roman" w:eastAsia="Times New Roman" w:hAnsi="Times New Roman" w:cs="Times New Roman"/>
          <w:sz w:val="28"/>
          <w:szCs w:val="28"/>
          <w:lang w:eastAsia="ru-RU"/>
        </w:rPr>
        <w:t>421 795,8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F42090">
        <w:rPr>
          <w:rFonts w:ascii="Times New Roman" w:hAnsi="Times New Roman" w:cs="Times New Roman"/>
          <w:sz w:val="28"/>
          <w:szCs w:val="28"/>
          <w:lang w:eastAsia="ru-RU"/>
        </w:rPr>
        <w:t>549 305,6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F42090">
        <w:rPr>
          <w:rFonts w:ascii="Times New Roman" w:hAnsi="Times New Roman" w:cs="Times New Roman"/>
          <w:sz w:val="28"/>
          <w:szCs w:val="28"/>
          <w:lang w:eastAsia="ru-RU"/>
        </w:rPr>
        <w:t>605 465,4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ab/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2023 год и  плановый период 2024 и 2025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2023 год и  плановый период 2024 и 2025 годов</w:t>
      </w:r>
      <w:r w:rsidRP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9E5E3F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9E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364 659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9E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421 795,8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18 332,5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16 811,5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19 639,7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630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>Увеличить с 1 октября 202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года в 1,0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>11 281,7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7 431,1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8 073,6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F2D3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D0AE0">
        <w:rPr>
          <w:rFonts w:ascii="Times New Roman" w:eastAsia="Times New Roman" w:hAnsi="Times New Roman" w:cs="Arial"/>
          <w:sz w:val="28"/>
          <w:szCs w:val="28"/>
          <w:lang w:eastAsia="ru-RU"/>
        </w:rPr>
        <w:t>53 055,5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31 647,1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>32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 431,4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3 087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12 669,5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proofErr w:type="gramEnd"/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0E2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6 800,8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4 535,3</w:t>
      </w:r>
      <w:r w:rsidR="004017D1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4 927,4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7D3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222,9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2023 год в сумме 15 907,7 тыс. рублей согласно приложению № 17 таблица </w:t>
      </w:r>
      <w:r w:rsidR="003875E9" w:rsidRPr="006D6E3D">
        <w:rPr>
          <w:rFonts w:ascii="Times New Roman" w:eastAsia="Times New Roman" w:hAnsi="Times New Roman" w:cs="Times New Roman"/>
          <w:sz w:val="28"/>
          <w:szCs w:val="28"/>
          <w:lang w:eastAsia="ru-RU"/>
        </w:rPr>
        <w:t>10 к настоящему решению Совета</w:t>
      </w:r>
      <w:r w:rsidR="00387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бюджету городского поселения «Забайкальское»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</w:t>
      </w:r>
      <w:proofErr w:type="gramEnd"/>
      <w:r w:rsidR="003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12 171,1 тыс. рублей и на 2025 год в сумме 15 248,2 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6C564E">
        <w:rPr>
          <w:rFonts w:ascii="Times New Roman" w:hAnsi="Times New Roman"/>
          <w:bCs/>
          <w:color w:val="000000"/>
          <w:sz w:val="28"/>
          <w:szCs w:val="28"/>
        </w:rPr>
        <w:t>926,1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1 185,3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1 185,3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46081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562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BC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жилищным </w:t>
      </w:r>
      <w:hyperlink r:id="rId19" w:history="1">
        <w:r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9BC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081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614,8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C4D67" w:rsidRDefault="001C4D67" w:rsidP="001C4D67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н) бюджетам поселений 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50,1 тыс. рублей согласно приложению № 17 таблица 11 к настоящему решению Совета.</w:t>
      </w:r>
    </w:p>
    <w:p w:rsidR="00935B80" w:rsidRDefault="00935B80" w:rsidP="00935B80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о) бюджету городского поселения «Забайкальское» 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поддержку</w:t>
      </w:r>
      <w:r w:rsidRPr="00812D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программ формирования современной городской среды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7 645,8 тыс. рублей.</w:t>
      </w:r>
    </w:p>
    <w:p w:rsidR="001C4D67" w:rsidRPr="00935B80" w:rsidRDefault="00935B80" w:rsidP="00935B80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п) бюджету сельского поселения «Даурское»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>Установить плату за пользование указанными в части 1 настоящей статьи бюджетными кредитами</w:t>
      </w:r>
      <w:r w:rsidR="004E1B47" w:rsidRP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в размере 0,1 процента </w:t>
      </w:r>
      <w:proofErr w:type="gramStart"/>
      <w:r w:rsidRPr="004E1B47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8 335,7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4 585,8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C45CE0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товаров, работ, услуг для обеспечения муниципальных нужд в соответствии с </w:t>
      </w:r>
      <w:hyperlink r:id="rId20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</w:t>
        </w:r>
        <w:proofErr w:type="gramEnd"/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2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бюджету бюджетного кредита на финансовое обеспечение реализации инфраструктурных проектов, поступления в бюджет дотаций из 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3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объеме,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превышающем остатка не использованных на начало текущего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ассигнований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4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  <w:proofErr w:type="gramEnd"/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B73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являются межбюджетные трансферты, имеющие целевое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 расходных обязательств по поддержке сельского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(договорам),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495">
        <w:rPr>
          <w:rFonts w:ascii="Times New Roman" w:hAnsi="Times New Roman" w:cs="Times New Roman"/>
          <w:sz w:val="28"/>
          <w:szCs w:val="28"/>
        </w:rPr>
        <w:t>4)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местного самоуправления поселений не допускать принятия решений, влекущих за собой увеличение численности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</w:trPr>
        <w:tc>
          <w:tcPr>
            <w:tcW w:w="486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D634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935B80" w:rsidRPr="00A773A7" w:rsidTr="00935B80">
        <w:tc>
          <w:tcPr>
            <w:tcW w:w="4248" w:type="dxa"/>
            <w:gridSpan w:val="2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935B80" w:rsidRPr="00A773A7" w:rsidTr="00935B80">
        <w:trPr>
          <w:trHeight w:val="463"/>
        </w:trPr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935B80" w:rsidRPr="00A773A7" w:rsidTr="00935B80">
        <w:trPr>
          <w:trHeight w:val="723"/>
        </w:trPr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7604,4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rPr>
          <w:trHeight w:val="690"/>
        </w:trPr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A773A7" w:rsidTr="00935B80">
        <w:tc>
          <w:tcPr>
            <w:tcW w:w="1728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35B80" w:rsidRPr="00A773A7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8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2024 и 2025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35B80" w:rsidRPr="00733052" w:rsidTr="00935B80">
        <w:trPr>
          <w:trHeight w:val="1000"/>
        </w:trPr>
        <w:tc>
          <w:tcPr>
            <w:tcW w:w="3540" w:type="dxa"/>
            <w:gridSpan w:val="2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E19D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35B80" w:rsidRPr="002675F2" w:rsidTr="00935B80">
        <w:trPr>
          <w:trHeight w:val="3905"/>
        </w:trPr>
        <w:tc>
          <w:tcPr>
            <w:tcW w:w="817" w:type="dxa"/>
          </w:tcPr>
          <w:p w:rsidR="00935B80" w:rsidRPr="0073305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</w:t>
            </w:r>
            <w:r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B80" w:rsidRPr="002675F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35B80" w:rsidRPr="002675F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5B80" w:rsidRPr="00733052" w:rsidTr="00935B80">
        <w:trPr>
          <w:trHeight w:val="855"/>
        </w:trPr>
        <w:tc>
          <w:tcPr>
            <w:tcW w:w="817" w:type="dxa"/>
          </w:tcPr>
          <w:p w:rsidR="00935B80" w:rsidRPr="00733052" w:rsidRDefault="00935B80" w:rsidP="00935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5B80" w:rsidRPr="003E19D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бюджета, всего</w:t>
            </w:r>
          </w:p>
        </w:tc>
        <w:tc>
          <w:tcPr>
            <w:tcW w:w="1418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54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B80" w:rsidRPr="00733052" w:rsidTr="00935B80">
        <w:trPr>
          <w:trHeight w:val="249"/>
        </w:trPr>
        <w:tc>
          <w:tcPr>
            <w:tcW w:w="817" w:type="dxa"/>
          </w:tcPr>
          <w:p w:rsidR="00935B80" w:rsidRPr="00733052" w:rsidRDefault="00935B80" w:rsidP="00935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5B80" w:rsidRPr="003E19D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B80" w:rsidRPr="00B654E5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80" w:rsidRPr="00733052" w:rsidTr="00935B80">
        <w:trPr>
          <w:trHeight w:val="503"/>
        </w:trPr>
        <w:tc>
          <w:tcPr>
            <w:tcW w:w="817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1236"/>
        </w:trPr>
        <w:tc>
          <w:tcPr>
            <w:tcW w:w="817" w:type="dxa"/>
          </w:tcPr>
          <w:p w:rsidR="00935B80" w:rsidRPr="003E19D5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3E19D5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885"/>
        </w:trPr>
        <w:tc>
          <w:tcPr>
            <w:tcW w:w="817" w:type="dxa"/>
          </w:tcPr>
          <w:p w:rsidR="00935B80" w:rsidRPr="003E19D5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3E19D5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1385"/>
        </w:trPr>
        <w:tc>
          <w:tcPr>
            <w:tcW w:w="817" w:type="dxa"/>
          </w:tcPr>
          <w:p w:rsidR="00935B80" w:rsidRPr="003E19D5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35B80" w:rsidRPr="003E19D5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852"/>
        </w:trPr>
        <w:tc>
          <w:tcPr>
            <w:tcW w:w="817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35B80" w:rsidRPr="003E19D5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35B80" w:rsidRPr="003E19D5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-1634,8</w:t>
            </w:r>
          </w:p>
        </w:tc>
        <w:tc>
          <w:tcPr>
            <w:tcW w:w="1275" w:type="dxa"/>
          </w:tcPr>
          <w:p w:rsidR="00935B80" w:rsidRPr="003E19D5" w:rsidRDefault="00935B80" w:rsidP="00935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-2115,1</w:t>
            </w:r>
          </w:p>
        </w:tc>
      </w:tr>
      <w:tr w:rsidR="00935B80" w:rsidRPr="00733052" w:rsidTr="00935B80">
        <w:trPr>
          <w:trHeight w:val="1281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16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935B80" w:rsidRPr="00733052" w:rsidTr="00935B80">
        <w:trPr>
          <w:trHeight w:val="110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B80" w:rsidRPr="00733052" w:rsidTr="00935B80">
        <w:trPr>
          <w:trHeight w:val="110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22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bookmarkEnd w:id="10"/>
      <w:tr w:rsidR="00935B80" w:rsidRPr="00733052" w:rsidTr="00935B80">
        <w:trPr>
          <w:trHeight w:val="1577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tr w:rsidR="00935B80" w:rsidRPr="00733052" w:rsidTr="00935B80">
        <w:trPr>
          <w:trHeight w:val="720"/>
        </w:trPr>
        <w:tc>
          <w:tcPr>
            <w:tcW w:w="817" w:type="dxa"/>
            <w:vAlign w:val="center"/>
          </w:tcPr>
          <w:p w:rsidR="00935B80" w:rsidRPr="00226612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35B80" w:rsidRPr="00226612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35B80" w:rsidRPr="00226612" w:rsidRDefault="00935B80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935B80" w:rsidRPr="0022661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1267,0</w:t>
            </w:r>
          </w:p>
        </w:tc>
        <w:tc>
          <w:tcPr>
            <w:tcW w:w="1275" w:type="dxa"/>
          </w:tcPr>
          <w:p w:rsidR="00935B80" w:rsidRPr="0022661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1232,3</w:t>
            </w:r>
          </w:p>
        </w:tc>
      </w:tr>
      <w:tr w:rsidR="00935B80" w:rsidRPr="00733052" w:rsidTr="00935B80">
        <w:trPr>
          <w:trHeight w:val="691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68099395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31"/>
            <w:bookmarkStart w:id="13" w:name="OLE_LINK32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End w:id="12"/>
            <w:bookmarkEnd w:id="13"/>
            <w:r>
              <w:rPr>
                <w:rFonts w:ascii="Times New Roman" w:hAnsi="Times New Roman"/>
                <w:sz w:val="24"/>
                <w:szCs w:val="24"/>
              </w:rPr>
              <w:t>550940,4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bookmarkEnd w:id="11"/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935B80" w:rsidRPr="005F7139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935B80" w:rsidRDefault="00935B80" w:rsidP="00935B80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935B80" w:rsidRPr="00733052" w:rsidTr="00935B80">
        <w:trPr>
          <w:trHeight w:val="97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</w:t>
            </w:r>
            <w:r>
              <w:rPr>
                <w:rFonts w:ascii="Times New Roman" w:hAnsi="Times New Roman"/>
                <w:sz w:val="24"/>
                <w:szCs w:val="24"/>
              </w:rPr>
              <w:t>татков денежных средств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418" w:type="dxa"/>
          </w:tcPr>
          <w:p w:rsidR="00935B80" w:rsidRDefault="00935B80" w:rsidP="00935B80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41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bookmarkEnd w:id="14"/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468104900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226612" w:rsidRDefault="00935B80" w:rsidP="00935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68099507"/>
            <w:bookmarkEnd w:id="15"/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226612" w:rsidRDefault="00935B80" w:rsidP="00935B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35B80" w:rsidRPr="00226612" w:rsidRDefault="00935B80" w:rsidP="00935B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35B80" w:rsidRPr="00226612" w:rsidRDefault="00935B80" w:rsidP="00935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35B80" w:rsidRPr="00226612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882,8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20"/>
            <w:bookmarkEnd w:id="1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bookmarkEnd w:id="17"/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49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 из бюджета муниципальных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 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8"/>
      <w:tr w:rsidR="00935B80" w:rsidRPr="00733052" w:rsidTr="00935B80">
        <w:trPr>
          <w:trHeight w:val="1158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tr w:rsidR="00935B80" w:rsidRPr="00733052" w:rsidTr="00935B80">
        <w:trPr>
          <w:trHeight w:val="740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ных юридическим лицам из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5B80" w:rsidRPr="00733052" w:rsidTr="00935B80">
        <w:trPr>
          <w:trHeight w:val="557"/>
        </w:trPr>
        <w:tc>
          <w:tcPr>
            <w:tcW w:w="817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35B80" w:rsidRPr="00E4693D" w:rsidRDefault="00935B80" w:rsidP="00935B80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35B80" w:rsidRPr="00E4693D" w:rsidRDefault="00935B80" w:rsidP="00935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бюджета муниципальных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8" w:type="dxa"/>
          </w:tcPr>
          <w:p w:rsidR="00935B80" w:rsidRPr="00E4693D" w:rsidRDefault="00935B80" w:rsidP="0093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35B80" w:rsidRPr="00E4693D" w:rsidRDefault="00935B80" w:rsidP="0093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2022 года № 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lastRenderedPageBreak/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4EC" w:rsidRPr="00DD0724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D634EC" w:rsidRPr="00DD0724" w:rsidRDefault="00D634EC" w:rsidP="00D634E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69"/>
        <w:gridCol w:w="1275"/>
        <w:gridCol w:w="1275"/>
        <w:gridCol w:w="1277"/>
      </w:tblGrid>
      <w:tr w:rsidR="00935B80" w:rsidRPr="00125EE4" w:rsidTr="00935B80">
        <w:trPr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125EE4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B80" w:rsidRPr="00125EE4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5B80" w:rsidRPr="00125EE4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125EE4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B80" w:rsidRPr="00125EE4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935B80" w:rsidRPr="00125EE4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125EE4" w:rsidRDefault="00935B80" w:rsidP="00935B80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125EE4" w:rsidRDefault="00935B80" w:rsidP="00935B80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125EE4" w:rsidRDefault="00935B80" w:rsidP="00935B80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935B80" w:rsidRPr="00125EE4" w:rsidTr="00935B80">
        <w:trPr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183866,4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127651,8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127651,8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119731,1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122354,4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120366,6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6283,0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7431,1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8073,6</w:t>
            </w:r>
          </w:p>
        </w:tc>
      </w:tr>
      <w:tr w:rsidR="00935B80" w:rsidRPr="00125EE4" w:rsidTr="00935B80">
        <w:trPr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3861,2</w:t>
            </w:r>
          </w:p>
        </w:tc>
      </w:tr>
      <w:tr w:rsidR="00935B80" w:rsidRPr="00125EE4" w:rsidTr="00935B80">
        <w:trPr>
          <w:trHeight w:val="40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25,7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4325,9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4662,2</w:t>
            </w:r>
          </w:p>
        </w:tc>
      </w:tr>
      <w:tr w:rsidR="00935B80" w:rsidRPr="00125EE4" w:rsidTr="00935B80">
        <w:trPr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-464,3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-475,5</w:t>
            </w:r>
          </w:p>
        </w:tc>
      </w:tr>
      <w:tr w:rsidR="00935B80" w:rsidRPr="00125EE4" w:rsidTr="00935B80">
        <w:trPr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17467,8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14284,2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15105,2</w:t>
            </w:r>
          </w:p>
        </w:tc>
      </w:tr>
      <w:tr w:rsidR="00935B80" w:rsidRPr="00125EE4" w:rsidTr="00935B80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11034,9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11818,4</w:t>
            </w:r>
          </w:p>
        </w:tc>
      </w:tr>
      <w:tr w:rsidR="00935B80" w:rsidRPr="00125EE4" w:rsidTr="00935B80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3186,8</w:t>
            </w:r>
          </w:p>
        </w:tc>
      </w:tr>
      <w:tr w:rsidR="00935B80" w:rsidRPr="00125EE4" w:rsidTr="00935B80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3615,0</w:t>
            </w:r>
          </w:p>
        </w:tc>
      </w:tr>
      <w:tr w:rsidR="00935B80" w:rsidRPr="00125EE4" w:rsidTr="00935B80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3615,0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4065,0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4050,0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19660,2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19274,7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18192,5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1068,9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3398,4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200,6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2995,2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3594,2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3466,7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3136,7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1977,7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1588,1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1548,6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35B80" w:rsidRPr="00125EE4" w:rsidTr="00935B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0" w:rsidRPr="00092DAD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092DA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D634EC" w:rsidRPr="00571F3E" w:rsidRDefault="00D634EC" w:rsidP="00D634EC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935B80" w:rsidRPr="0038155D" w:rsidRDefault="00935B80" w:rsidP="00935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35B80" w:rsidRPr="0038155D" w:rsidRDefault="00935B80" w:rsidP="0093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935B80" w:rsidRPr="0038155D" w:rsidRDefault="00935B80" w:rsidP="00935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35B80" w:rsidRPr="0038155D" w:rsidTr="00935B80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935B80" w:rsidRPr="0038155D" w:rsidRDefault="00935B80" w:rsidP="00935B8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556 817,2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935B80" w:rsidRPr="0038155D" w:rsidTr="00935B8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23 175,5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935B80" w:rsidRPr="0038155D" w:rsidTr="00935B8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38155D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3 612,9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__ декабря 2022 года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</w:tbl>
    <w:p w:rsidR="00935B80" w:rsidRPr="00914040" w:rsidRDefault="00935B80" w:rsidP="00935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35B80" w:rsidRPr="00914040" w:rsidRDefault="00935B80" w:rsidP="0093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134"/>
        <w:gridCol w:w="1275"/>
      </w:tblGrid>
      <w:tr w:rsidR="00935B80" w:rsidRPr="00914040" w:rsidTr="00935B80">
        <w:trPr>
          <w:cantSplit/>
          <w:trHeight w:val="1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935B80" w:rsidRPr="00914040" w:rsidRDefault="00935B80" w:rsidP="00935B8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88"/>
        <w:gridCol w:w="1134"/>
        <w:gridCol w:w="1318"/>
      </w:tblGrid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364 659,0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421 795,8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35 428,5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37 441,9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19 052,2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18 259,2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16 385,8</w:t>
            </w:r>
          </w:p>
        </w:tc>
      </w:tr>
      <w:tr w:rsidR="00935B80" w:rsidRPr="00914040" w:rsidTr="00935B8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20 835,1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935B80" w:rsidRPr="00914040" w:rsidTr="00935B8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0" w:rsidRPr="0091404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733"/>
        <w:gridCol w:w="1252"/>
      </w:tblGrid>
      <w:tr w:rsidR="00935B80" w:rsidRPr="00935B80" w:rsidTr="00935B80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35B80" w:rsidRPr="00935B80" w:rsidTr="00935B80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B80" w:rsidRPr="00935B80" w:rsidTr="00935B80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60 759,2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29 124,8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16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935B80" w:rsidRPr="00935B80" w:rsidTr="00935B8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935B80" w:rsidRPr="00935B80" w:rsidTr="00935B8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35B80" w:rsidRPr="00935B80" w:rsidTr="00935B8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15 278,1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26 963,4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593 574,5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935B80" w:rsidRPr="00935B80" w:rsidTr="00935B8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935B80" w:rsidRPr="00935B80" w:rsidTr="00935B80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35B80" w:rsidRPr="00935B80" w:rsidTr="00935B8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35B80" w:rsidRPr="00935B80" w:rsidTr="00935B8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747 021,0</w:t>
            </w:r>
          </w:p>
        </w:tc>
      </w:tr>
    </w:tbl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709"/>
        <w:gridCol w:w="1559"/>
        <w:gridCol w:w="850"/>
        <w:gridCol w:w="1418"/>
        <w:gridCol w:w="1417"/>
      </w:tblGrid>
      <w:tr w:rsidR="00935B80" w:rsidRPr="00935B80" w:rsidTr="00935B80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935B80" w:rsidRPr="00935B80" w:rsidTr="00935B8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B80" w:rsidRPr="00935B80" w:rsidTr="00935B8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935B80" w:rsidRPr="00935B80" w:rsidTr="00935B8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935B80" w:rsidRPr="00935B80" w:rsidTr="00935B80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935B80" w:rsidRPr="00935B80" w:rsidTr="00935B8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выполнение функций </w:t>
            </w: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935B80" w:rsidRPr="00935B80" w:rsidTr="00935B80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35B80" w:rsidRPr="00935B80" w:rsidTr="00935B80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935B80" w:rsidRPr="00935B80" w:rsidTr="00935B80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"Модернизация объектов теплоэнергетики и капитальный ремонт объектов коммунальной инфраструктуры, находящихся в муниципальной </w:t>
            </w: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935B80" w:rsidRPr="00935B80" w:rsidTr="00935B80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935B80" w:rsidRPr="00935B80" w:rsidTr="00935B80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"Обеспечение государственных гарантий реализации прав на получение </w:t>
            </w: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935B80" w:rsidRPr="00935B80" w:rsidTr="00935B80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935B80" w:rsidRPr="00935B80" w:rsidTr="00935B80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935B80" w:rsidRPr="00935B80" w:rsidTr="00935B80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935B80" w:rsidRPr="00935B80" w:rsidTr="00935B80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935B80" w:rsidRPr="00935B80" w:rsidTr="00935B8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35B80" w:rsidRPr="00935B80" w:rsidTr="00935B8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35B80" w:rsidRPr="00935B80" w:rsidTr="00935B8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35B80" w:rsidRPr="00935B80" w:rsidTr="00935B80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935B80" w:rsidRPr="00935B80" w:rsidTr="00935B8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935B80" w:rsidRPr="00935B80" w:rsidTr="00935B8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Pr="00D634EC" w:rsidRDefault="00935B80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D634EC" w:rsidRPr="00D634EC" w:rsidTr="00A11FB1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935B80" w:rsidRPr="00935B80" w:rsidTr="00935B80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35B80" w:rsidRPr="00935B80" w:rsidTr="00935B80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B80" w:rsidRPr="00935B80" w:rsidTr="00935B80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29 616,9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935B80" w:rsidRPr="00935B80" w:rsidTr="00935B8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49 315,7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49 315,7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35B80" w:rsidRPr="00935B80" w:rsidTr="00935B8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входных групп (пандусы, поручни)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25041,6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935B80" w:rsidRPr="00935B80" w:rsidTr="00935B80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35B80" w:rsidRPr="00935B80" w:rsidTr="00935B80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11281,7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935B80" w:rsidRPr="00935B80" w:rsidTr="00935B80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135 594,3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935B80" w:rsidRPr="00935B80" w:rsidTr="00935B80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35B80" w:rsidRPr="00935B80" w:rsidTr="00935B80">
        <w:trPr>
          <w:trHeight w:val="12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421 338,1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935B80" w:rsidRPr="00935B80" w:rsidTr="00935B8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935B80" w:rsidRPr="00935B80" w:rsidTr="00935B80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935B80" w:rsidRPr="00935B80" w:rsidTr="00935B80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34 487,5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935B80" w:rsidRPr="00935B80" w:rsidTr="00935B80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935B80" w:rsidRPr="00935B80" w:rsidTr="00935B80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935B80" w:rsidRPr="00935B80" w:rsidTr="00935B80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B80" w:rsidRPr="00935B80" w:rsidRDefault="00935B80" w:rsidP="009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B80" w:rsidRDefault="00935B80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851"/>
        <w:gridCol w:w="1417"/>
        <w:gridCol w:w="1418"/>
      </w:tblGrid>
      <w:tr w:rsidR="00F00170" w:rsidRPr="00F00170" w:rsidTr="007B3452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F00170" w:rsidRPr="00F00170" w:rsidTr="007B3452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70" w:rsidRPr="00F00170" w:rsidTr="007B3452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00170" w:rsidRPr="00F00170" w:rsidTr="007B3452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00170" w:rsidRPr="00F00170" w:rsidTr="007B3452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по обеспечению хозяйственного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00170" w:rsidRPr="00F00170" w:rsidTr="007B3452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00170" w:rsidRPr="00F00170" w:rsidTr="007B345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государственного полномочия по созданию административных комиссий в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00170" w:rsidRPr="00F00170" w:rsidTr="007B345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00170" w:rsidRPr="00F00170" w:rsidTr="007B345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00170" w:rsidRPr="00F00170" w:rsidTr="007B3452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00170" w:rsidRPr="00F00170" w:rsidTr="007B3452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F00170" w:rsidRPr="00F00170" w:rsidTr="007B345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F00170" w:rsidRPr="00F00170" w:rsidTr="007B3452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00170" w:rsidRPr="00F00170" w:rsidTr="007B345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00170" w:rsidRPr="00F00170" w:rsidTr="007B345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при осуществлении деятельности по обращению </w:t>
            </w: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00170" w:rsidRPr="00F00170" w:rsidTr="007B345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00170" w:rsidRPr="00F00170" w:rsidTr="007B345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00170" w:rsidRPr="00F00170" w:rsidTr="007B345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00170" w:rsidRPr="00F00170" w:rsidTr="007B345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170" w:rsidRPr="00F00170" w:rsidRDefault="00F00170" w:rsidP="00F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170" w:rsidRPr="00D634EC" w:rsidRDefault="00F00170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2023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611"/>
        <w:gridCol w:w="567"/>
        <w:gridCol w:w="567"/>
        <w:gridCol w:w="1559"/>
        <w:gridCol w:w="709"/>
        <w:gridCol w:w="1276"/>
      </w:tblGrid>
      <w:tr w:rsidR="00FC6C11" w:rsidRPr="00FC6C11" w:rsidTr="007B3452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FC6C11" w:rsidRPr="00FC6C11" w:rsidTr="007B3452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47 159,8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FC6C11" w:rsidRPr="00FC6C11" w:rsidTr="007B3452">
        <w:trPr>
          <w:trHeight w:val="26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2 383,5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FC6C11" w:rsidRPr="00FC6C11" w:rsidTr="007B3452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FC6C11" w:rsidRPr="00FC6C11" w:rsidTr="007B3452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FC6C11" w:rsidRPr="00FC6C11" w:rsidTr="007B3452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FC6C11" w:rsidRPr="00FC6C11" w:rsidTr="007B3452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FC6C11" w:rsidRPr="00FC6C11" w:rsidTr="007B3452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694 970,3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34 157,5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25 485,2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FC6C11" w:rsidRPr="00FC6C11" w:rsidTr="007B3452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FC6C11" w:rsidRPr="00FC6C11" w:rsidTr="007B3452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FC6C11" w:rsidRPr="00FC6C11" w:rsidTr="007B3452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FC6C11" w:rsidRPr="00FC6C11" w:rsidTr="007B3452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590 050,1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FC6C11" w:rsidRPr="00FC6C11" w:rsidTr="007B3452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14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FC6C11" w:rsidRPr="00FC6C11" w:rsidTr="007B3452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FC6C11" w:rsidRPr="00FC6C11" w:rsidTr="007B3452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FC6C11" w:rsidRPr="00FC6C11" w:rsidTr="007B3452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FC6C11" w:rsidRPr="00FC6C11" w:rsidTr="007B3452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FC6C11" w:rsidRPr="00FC6C11" w:rsidTr="007B3452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FC6C11" w:rsidRPr="00FC6C11" w:rsidTr="007B3452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C6C11" w:rsidRPr="00FC6C11" w:rsidTr="007B3452">
        <w:trPr>
          <w:trHeight w:val="14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FC6C11" w:rsidRPr="00FC6C11" w:rsidTr="007B3452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C6C11" w:rsidRPr="00FC6C11" w:rsidTr="007B3452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C6C11" w:rsidRPr="00FC6C11" w:rsidTr="007B3452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FC6C11" w:rsidRPr="00FC6C11" w:rsidTr="007B3452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425"/>
        <w:gridCol w:w="426"/>
        <w:gridCol w:w="1701"/>
        <w:gridCol w:w="850"/>
        <w:gridCol w:w="1134"/>
        <w:gridCol w:w="1134"/>
      </w:tblGrid>
      <w:tr w:rsidR="00FC6C11" w:rsidRPr="00FC6C11" w:rsidTr="007B345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FC6C11" w:rsidRPr="00FC6C11" w:rsidTr="007B345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FC6C11" w:rsidRPr="00FC6C11" w:rsidTr="007B345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C6C11" w:rsidRPr="00FC6C11" w:rsidTr="007B345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C6C11" w:rsidRPr="00FC6C11" w:rsidTr="007B3452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      </w: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C6C11" w:rsidRPr="00FC6C11" w:rsidTr="007B345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FC6C11" w:rsidRPr="00FC6C11" w:rsidTr="007B345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</w:t>
            </w: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FC6C11" w:rsidRPr="00FC6C11" w:rsidTr="007B3452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C6C11" w:rsidRPr="00FC6C11" w:rsidTr="007B345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FC6C11" w:rsidRPr="00FC6C11" w:rsidTr="007B34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FC6C11" w:rsidRPr="00FC6C11" w:rsidTr="007B345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C6C11" w:rsidRPr="00FC6C11" w:rsidTr="007B3452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C6C11" w:rsidRPr="00FC6C11" w:rsidTr="007B345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муниципального района «Забайкальский район» (2020-2026 </w:t>
            </w: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C6C11" w:rsidRPr="00FC6C11" w:rsidTr="007B345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C6C11" w:rsidRPr="00FC6C11" w:rsidTr="007B345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C6C11" w:rsidRPr="00FC6C11" w:rsidTr="007B345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C6C11" w:rsidRPr="00FC6C11" w:rsidTr="007B345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C6C11" w:rsidRPr="00FC6C11" w:rsidTr="007B345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C11" w:rsidRPr="00FC6C11" w:rsidRDefault="00FC6C11" w:rsidP="00FC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FC6C11" w:rsidRDefault="00FC6C11" w:rsidP="00A95374"/>
    <w:p w:rsidR="00FC6C11" w:rsidRDefault="00FC6C11" w:rsidP="00A95374"/>
    <w:p w:rsidR="00FC6C11" w:rsidRDefault="00FC6C11" w:rsidP="00A95374"/>
    <w:p w:rsidR="00FC6C11" w:rsidRDefault="00FC6C11" w:rsidP="00A95374"/>
    <w:p w:rsidR="00FC6C11" w:rsidRDefault="00FC6C11" w:rsidP="00A95374"/>
    <w:p w:rsidR="00DD09F7" w:rsidRDefault="00DD09F7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__ декабря 2022 года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2023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__ декабря 2022 года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2024 года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«Даурская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здания МАОУ «СОШ №1»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«Красновеликанская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«Капитальный ремонт здания МОУ «Абагайтуйская СОШ №7»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 _____ 2022 года № __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2023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2 724,9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2 605,3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12 669,5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3 087,0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«Забайкальский район» от «__» _______  2022 года № __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2023 год и плановый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2024 и 2025 годов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2 437,7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</w:tr>
      <w:tr w:rsidR="00D634EC" w:rsidRPr="00D634EC" w:rsidTr="00A11FB1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</w:tr>
      <w:tr w:rsidR="00D634EC" w:rsidRPr="00D634EC" w:rsidTr="00A11FB1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</w:tr>
      <w:tr w:rsidR="00D634EC" w:rsidRPr="00D634EC" w:rsidTr="00A11FB1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</w:tr>
      <w:tr w:rsidR="00D634EC" w:rsidRPr="00D634EC" w:rsidTr="00A11FB1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</w:tr>
      <w:tr w:rsidR="00D634EC" w:rsidRPr="00D634EC" w:rsidTr="00A11FB1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2983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A4244" w:rsidRPr="000619F3" w:rsidTr="007B3452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061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619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</w:tr>
      <w:tr w:rsidR="00FA4244" w:rsidRPr="000619F3" w:rsidTr="007B345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A4244" w:rsidRPr="000619F3" w:rsidTr="007B345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A4244" w:rsidRPr="000619F3" w:rsidRDefault="00FA4244" w:rsidP="00FA4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49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291"/>
      </w:tblGrid>
      <w:tr w:rsidR="00FA4244" w:rsidRPr="000619F3" w:rsidTr="00FA4244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A4244" w:rsidRPr="000619F3" w:rsidTr="00FA4244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6 800,8</w:t>
            </w:r>
          </w:p>
        </w:tc>
      </w:tr>
      <w:tr w:rsidR="00FA4244" w:rsidRPr="000619F3" w:rsidTr="00FA424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4244" w:rsidRPr="000619F3" w:rsidTr="00FA424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908,3</w:t>
            </w:r>
          </w:p>
        </w:tc>
      </w:tr>
      <w:tr w:rsidR="00FA4244" w:rsidRPr="000619F3" w:rsidTr="00FA424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527,5</w:t>
            </w:r>
          </w:p>
        </w:tc>
      </w:tr>
      <w:tr w:rsidR="00FA4244" w:rsidRPr="000619F3" w:rsidTr="00FA424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547,9</w:t>
            </w:r>
          </w:p>
        </w:tc>
      </w:tr>
      <w:tr w:rsidR="00FA4244" w:rsidRPr="000619F3" w:rsidTr="00FA424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182,8</w:t>
            </w:r>
          </w:p>
        </w:tc>
      </w:tr>
      <w:tr w:rsidR="00FA4244" w:rsidRPr="000619F3" w:rsidTr="00FA4244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1 630,4</w:t>
            </w:r>
          </w:p>
        </w:tc>
      </w:tr>
      <w:tr w:rsidR="00FA4244" w:rsidRPr="000619F3" w:rsidTr="00FA4244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2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4244" w:rsidRPr="000619F3" w:rsidRDefault="00FA4244" w:rsidP="007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003,9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70,9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«__»_____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C564E" w:rsidRPr="00A11FB1" w:rsidTr="00935B8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6C564E" w:rsidRPr="00A11FB1" w:rsidTr="00935B8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C564E" w:rsidRPr="00A11FB1" w:rsidTr="00935B8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C564E" w:rsidRPr="00A11FB1" w:rsidRDefault="006C564E" w:rsidP="006C5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C564E" w:rsidRPr="00A11FB1" w:rsidTr="00935B8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C564E" w:rsidRPr="00A11FB1" w:rsidTr="00935B8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926,1</w:t>
            </w:r>
          </w:p>
        </w:tc>
      </w:tr>
      <w:tr w:rsidR="006C564E" w:rsidRPr="00A11FB1" w:rsidTr="00935B8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564E" w:rsidRPr="00A11FB1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6C564E" w:rsidRPr="00A11FB1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C564E" w:rsidRPr="00A11FB1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6C564E" w:rsidRPr="00A11FB1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6C564E" w:rsidRPr="00A11FB1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6C564E" w:rsidRPr="00A11FB1" w:rsidTr="00935B80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6C564E" w:rsidRPr="00A11FB1" w:rsidTr="00935B80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564E" w:rsidRPr="00A11FB1" w:rsidRDefault="006C564E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205,8</w:t>
            </w:r>
          </w:p>
        </w:tc>
      </w:tr>
    </w:tbl>
    <w:p w:rsidR="006C564E" w:rsidRDefault="006C564E" w:rsidP="006C564E">
      <w:pPr>
        <w:tabs>
          <w:tab w:val="left" w:pos="3405"/>
        </w:tabs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6C564E" w:rsidRDefault="006C564E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6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7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8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1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2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3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4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2023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562,0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263,2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614,8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136,1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270,3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3875E9" w:rsidRPr="009734AD" w:rsidRDefault="003875E9" w:rsidP="00387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5E9" w:rsidRPr="00A11FB1" w:rsidRDefault="003875E9" w:rsidP="00387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№17</w:t>
      </w:r>
    </w:p>
    <w:p w:rsidR="003875E9" w:rsidRPr="00A11FB1" w:rsidRDefault="003875E9" w:rsidP="00387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3875E9" w:rsidRDefault="003875E9" w:rsidP="003875E9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«Забайкальский район» от «__» ____ 2022 года № __</w:t>
      </w:r>
    </w:p>
    <w:p w:rsidR="003875E9" w:rsidRDefault="003875E9" w:rsidP="003875E9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«Об утверждении </w:t>
      </w:r>
    </w:p>
    <w:p w:rsidR="003875E9" w:rsidRDefault="003875E9" w:rsidP="003875E9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районного бюджета муниципального района </w:t>
      </w:r>
    </w:p>
    <w:p w:rsidR="003875E9" w:rsidRDefault="003875E9" w:rsidP="003875E9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«Забайкальский район» на 2023 год </w:t>
      </w:r>
    </w:p>
    <w:p w:rsidR="003875E9" w:rsidRDefault="003875E9" w:rsidP="003875E9">
      <w:pPr>
        <w:spacing w:after="0"/>
        <w:jc w:val="right"/>
      </w:pPr>
      <w:r w:rsidRPr="00A11F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плановый период 2024 и 2025 годов</w:t>
      </w:r>
    </w:p>
    <w:p w:rsidR="003875E9" w:rsidRDefault="003875E9" w:rsidP="003875E9">
      <w:pPr>
        <w:tabs>
          <w:tab w:val="left" w:pos="8100"/>
        </w:tabs>
      </w:pPr>
      <w:r>
        <w:tab/>
      </w:r>
    </w:p>
    <w:p w:rsidR="003875E9" w:rsidRDefault="003875E9" w:rsidP="003875E9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10</w:t>
      </w:r>
    </w:p>
    <w:p w:rsidR="003875E9" w:rsidRPr="00B340F8" w:rsidRDefault="003875E9" w:rsidP="003875E9">
      <w:pPr>
        <w:tabs>
          <w:tab w:val="left" w:pos="340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3875E9" w:rsidRPr="00B340F8" w:rsidTr="00935B80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софинансирования мероприятий по модернизации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объектов теплоэнергетики и капитальный ремонт объектов коммунальной инфраструктуры, находящейся в муниципальной собственности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3875E9" w:rsidRPr="00B340F8" w:rsidTr="00935B8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875E9" w:rsidRPr="00B340F8" w:rsidTr="00935B8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875E9" w:rsidRPr="00B340F8" w:rsidRDefault="003875E9" w:rsidP="00387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875E9" w:rsidRPr="00B340F8" w:rsidTr="00935B8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875E9" w:rsidRPr="00B340F8" w:rsidTr="00935B8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15 907,7</w:t>
            </w:r>
          </w:p>
        </w:tc>
      </w:tr>
      <w:tr w:rsidR="003875E9" w:rsidRPr="00B340F8" w:rsidTr="00935B8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5E9" w:rsidRPr="00B340F8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10 078,9</w:t>
            </w:r>
          </w:p>
        </w:tc>
      </w:tr>
      <w:tr w:rsidR="003875E9" w:rsidRPr="00B340F8" w:rsidTr="00935B8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75E9" w:rsidRPr="00B340F8" w:rsidRDefault="003875E9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5 828,8</w:t>
            </w:r>
          </w:p>
        </w:tc>
      </w:tr>
    </w:tbl>
    <w:p w:rsidR="003875E9" w:rsidRPr="00B340F8" w:rsidRDefault="003875E9" w:rsidP="003875E9">
      <w:pPr>
        <w:tabs>
          <w:tab w:val="left" w:pos="3405"/>
        </w:tabs>
      </w:pPr>
    </w:p>
    <w:p w:rsidR="00A11FB1" w:rsidRDefault="00A11FB1" w:rsidP="00A95374"/>
    <w:p w:rsidR="000F7E79" w:rsidRDefault="000F7E79" w:rsidP="00A95374"/>
    <w:p w:rsidR="000F7E79" w:rsidRDefault="000F7E79" w:rsidP="00A95374"/>
    <w:p w:rsidR="000F7E79" w:rsidRDefault="000F7E79" w:rsidP="00A95374"/>
    <w:p w:rsidR="000F7E79" w:rsidRDefault="000F7E79" w:rsidP="00A95374"/>
    <w:p w:rsidR="000F7E79" w:rsidRDefault="000F7E79" w:rsidP="00A95374"/>
    <w:p w:rsidR="000F7E79" w:rsidRDefault="000F7E79" w:rsidP="00A95374"/>
    <w:p w:rsidR="00F95108" w:rsidRDefault="00F95108" w:rsidP="00A95374"/>
    <w:p w:rsidR="00F95108" w:rsidRDefault="00F95108" w:rsidP="00A95374"/>
    <w:p w:rsidR="00F95108" w:rsidRDefault="00F95108" w:rsidP="00A95374"/>
    <w:p w:rsidR="000F7E79" w:rsidRDefault="000F7E79" w:rsidP="00A95374"/>
    <w:p w:rsidR="000F7E79" w:rsidRDefault="000F7E79" w:rsidP="00A95374"/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236"/>
      </w:tblGrid>
      <w:tr w:rsidR="00F95108" w:rsidRPr="00A11FB1" w:rsidTr="00F95108">
        <w:trPr>
          <w:gridAfter w:val="1"/>
          <w:wAfter w:w="236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95108" w:rsidRPr="00A11FB1" w:rsidRDefault="00F95108" w:rsidP="00935B8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F95108" w:rsidRPr="00A11FB1" w:rsidTr="00F95108">
        <w:trPr>
          <w:gridAfter w:val="1"/>
          <w:wAfter w:w="236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95108" w:rsidRPr="00A11FB1" w:rsidTr="00F95108">
        <w:trPr>
          <w:gridAfter w:val="1"/>
          <w:wAfter w:w="236" w:type="dxa"/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95108" w:rsidRPr="00A11FB1" w:rsidTr="00F95108">
        <w:trPr>
          <w:gridAfter w:val="1"/>
          <w:wAfter w:w="236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95108" w:rsidRPr="00A11FB1" w:rsidTr="00F95108">
        <w:trPr>
          <w:trHeight w:val="552"/>
        </w:trPr>
        <w:tc>
          <w:tcPr>
            <w:tcW w:w="95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иных межбюджетных трансфертов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ямы),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F95108" w:rsidRPr="00A11FB1" w:rsidTr="00F9510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95108" w:rsidRPr="00A11FB1" w:rsidTr="00F9510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95108" w:rsidRPr="00A11FB1" w:rsidRDefault="00F95108" w:rsidP="00F951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49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41"/>
        <w:gridCol w:w="6633"/>
        <w:gridCol w:w="2324"/>
      </w:tblGrid>
      <w:tr w:rsidR="00F95108" w:rsidRPr="00A11FB1" w:rsidTr="00FA4244">
        <w:trPr>
          <w:trHeight w:val="303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95108" w:rsidRPr="00A11FB1" w:rsidTr="00FA4244">
        <w:trPr>
          <w:trHeight w:val="324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32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50,1</w:t>
            </w:r>
          </w:p>
        </w:tc>
      </w:tr>
      <w:tr w:rsidR="00F95108" w:rsidRPr="00A11FB1" w:rsidTr="00FA4244">
        <w:trPr>
          <w:trHeight w:val="320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32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5108" w:rsidRPr="00A11FB1" w:rsidTr="00FA4244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32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F95108" w:rsidRPr="00A11FB1" w:rsidTr="00FA4244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2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95108" w:rsidRPr="00A11FB1" w:rsidRDefault="00F95108" w:rsidP="0093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</w:tbl>
    <w:p w:rsidR="001C4D67" w:rsidRDefault="001C4D67" w:rsidP="001C4D67">
      <w:pPr>
        <w:tabs>
          <w:tab w:val="left" w:pos="7730"/>
        </w:tabs>
      </w:pPr>
      <w:r>
        <w:tab/>
      </w:r>
    </w:p>
    <w:p w:rsidR="001C4D67" w:rsidRDefault="001C4D67" w:rsidP="001C4D67">
      <w:pPr>
        <w:tabs>
          <w:tab w:val="left" w:pos="7730"/>
        </w:tabs>
      </w:pPr>
    </w:p>
    <w:p w:rsidR="000F7E79" w:rsidRDefault="000F7E79" w:rsidP="00A95374"/>
    <w:p w:rsidR="000F7E79" w:rsidRDefault="000F7E79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F95108" w:rsidRDefault="00F95108" w:rsidP="00A95374"/>
    <w:p w:rsidR="000F7E79" w:rsidRDefault="000F7E79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 2022 года №__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5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4535,3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4927,4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783,1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401,5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942,3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1023,7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1 404,4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1525,8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от «__» ____ 2022 года № __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A11FB1" w:rsidRPr="00A11FB1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2023 год и плановый период 2024 и 2025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______ 2022 года № 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______ 2022 года № __ «Об утверждении районного бюджета муниципального района "Забайкальский район» на 2023 год и плановый период 2024 и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1185,3        1185,3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100,0           100,0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268,3           268,3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465,0            465,0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  <w:proofErr w:type="gramEnd"/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 декабря 2022г. №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2023 год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2024 и 2025 годов»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3306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533064" w:rsidRPr="00533064" w:rsidRDefault="00533064" w:rsidP="00533064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533064">
        <w:rPr>
          <w:rFonts w:ascii="Calibri" w:eastAsia="Times New Roman" w:hAnsi="Calibri" w:cs="Times New Roman"/>
          <w:lang w:eastAsia="ru-RU"/>
        </w:rPr>
        <w:tab/>
      </w: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плановый период 2024 и 2025 годов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533064" w:rsidRPr="00533064" w:rsidTr="005C2C9A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3064" w:rsidRPr="00533064" w:rsidTr="005C2C9A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533064" w:rsidRPr="00533064" w:rsidTr="005C2C9A">
        <w:trPr>
          <w:trHeight w:val="1480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19" w:name="_Hlk468107536"/>
            <w:r w:rsidRPr="0053306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882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196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__декабря 2022 года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и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2024 и 2025 годов"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на 2023 год и плановый период 2024 и 2025 годов</w:t>
      </w:r>
    </w:p>
    <w:tbl>
      <w:tblPr>
        <w:tblStyle w:val="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992"/>
        <w:gridCol w:w="1134"/>
        <w:gridCol w:w="992"/>
        <w:gridCol w:w="1134"/>
        <w:gridCol w:w="993"/>
        <w:gridCol w:w="1134"/>
        <w:gridCol w:w="567"/>
        <w:gridCol w:w="567"/>
        <w:gridCol w:w="708"/>
      </w:tblGrid>
      <w:tr w:rsidR="00533064" w:rsidRPr="00DD09F7" w:rsidTr="00DD09F7">
        <w:trPr>
          <w:trHeight w:val="248"/>
        </w:trPr>
        <w:tc>
          <w:tcPr>
            <w:tcW w:w="283" w:type="dxa"/>
            <w:vMerge w:val="restart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06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306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306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Муниципальные гарантии</w:t>
            </w:r>
          </w:p>
        </w:tc>
        <w:tc>
          <w:tcPr>
            <w:tcW w:w="3118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3261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533064" w:rsidRPr="00DD09F7" w:rsidTr="00DD09F7">
        <w:trPr>
          <w:trHeight w:val="144"/>
        </w:trPr>
        <w:tc>
          <w:tcPr>
            <w:tcW w:w="283" w:type="dxa"/>
            <w:vMerge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_Hlk468106964"/>
          </w:p>
        </w:tc>
        <w:tc>
          <w:tcPr>
            <w:tcW w:w="1135" w:type="dxa"/>
            <w:vMerge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993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708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3064" w:rsidRPr="005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ED" w:rsidRDefault="00B40DED" w:rsidP="00FB18E9">
      <w:pPr>
        <w:spacing w:after="0" w:line="240" w:lineRule="auto"/>
      </w:pPr>
      <w:r>
        <w:separator/>
      </w:r>
    </w:p>
  </w:endnote>
  <w:endnote w:type="continuationSeparator" w:id="0">
    <w:p w:rsidR="00B40DED" w:rsidRDefault="00B40DED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ED" w:rsidRDefault="00B40DED" w:rsidP="00FB18E9">
      <w:pPr>
        <w:spacing w:after="0" w:line="240" w:lineRule="auto"/>
      </w:pPr>
      <w:r>
        <w:separator/>
      </w:r>
    </w:p>
  </w:footnote>
  <w:footnote w:type="continuationSeparator" w:id="0">
    <w:p w:rsidR="00B40DED" w:rsidRDefault="00B40DED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6937"/>
    <w:rsid w:val="000465DD"/>
    <w:rsid w:val="00047364"/>
    <w:rsid w:val="00054107"/>
    <w:rsid w:val="00061703"/>
    <w:rsid w:val="00070A9B"/>
    <w:rsid w:val="00093CB8"/>
    <w:rsid w:val="000B0EF6"/>
    <w:rsid w:val="000D0DF3"/>
    <w:rsid w:val="000E22A4"/>
    <w:rsid w:val="000E26CA"/>
    <w:rsid w:val="000F2F4F"/>
    <w:rsid w:val="000F7E79"/>
    <w:rsid w:val="00105ECE"/>
    <w:rsid w:val="0012205E"/>
    <w:rsid w:val="00126835"/>
    <w:rsid w:val="001279BC"/>
    <w:rsid w:val="001471F7"/>
    <w:rsid w:val="001575FE"/>
    <w:rsid w:val="00167E21"/>
    <w:rsid w:val="001A1EB7"/>
    <w:rsid w:val="001A6605"/>
    <w:rsid w:val="001C4D67"/>
    <w:rsid w:val="001C51E9"/>
    <w:rsid w:val="001D6117"/>
    <w:rsid w:val="00207C0F"/>
    <w:rsid w:val="002109C5"/>
    <w:rsid w:val="0022206F"/>
    <w:rsid w:val="002229A6"/>
    <w:rsid w:val="00231FF9"/>
    <w:rsid w:val="00243024"/>
    <w:rsid w:val="00250716"/>
    <w:rsid w:val="00273509"/>
    <w:rsid w:val="0028432B"/>
    <w:rsid w:val="00286C78"/>
    <w:rsid w:val="00292F3C"/>
    <w:rsid w:val="002D11BA"/>
    <w:rsid w:val="00310DB9"/>
    <w:rsid w:val="00315C8D"/>
    <w:rsid w:val="00316465"/>
    <w:rsid w:val="003236FA"/>
    <w:rsid w:val="00325883"/>
    <w:rsid w:val="00333839"/>
    <w:rsid w:val="003426DA"/>
    <w:rsid w:val="003613B9"/>
    <w:rsid w:val="003875E9"/>
    <w:rsid w:val="00396164"/>
    <w:rsid w:val="003D29DC"/>
    <w:rsid w:val="003E55B4"/>
    <w:rsid w:val="003F5FFD"/>
    <w:rsid w:val="004017D1"/>
    <w:rsid w:val="00415FD3"/>
    <w:rsid w:val="00423B12"/>
    <w:rsid w:val="004255D0"/>
    <w:rsid w:val="004378A0"/>
    <w:rsid w:val="004426C7"/>
    <w:rsid w:val="00445F2C"/>
    <w:rsid w:val="00461113"/>
    <w:rsid w:val="00475344"/>
    <w:rsid w:val="00493DDA"/>
    <w:rsid w:val="0049419E"/>
    <w:rsid w:val="004A0FC2"/>
    <w:rsid w:val="004E1B47"/>
    <w:rsid w:val="00505978"/>
    <w:rsid w:val="005104DB"/>
    <w:rsid w:val="005126C4"/>
    <w:rsid w:val="00533064"/>
    <w:rsid w:val="005438AE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A5C03"/>
    <w:rsid w:val="005A731C"/>
    <w:rsid w:val="005B0A99"/>
    <w:rsid w:val="005B2324"/>
    <w:rsid w:val="005C2C9A"/>
    <w:rsid w:val="00603C25"/>
    <w:rsid w:val="00623F9C"/>
    <w:rsid w:val="00630B1F"/>
    <w:rsid w:val="006853C8"/>
    <w:rsid w:val="006972F5"/>
    <w:rsid w:val="00697894"/>
    <w:rsid w:val="006A57E0"/>
    <w:rsid w:val="006A5C25"/>
    <w:rsid w:val="006C564E"/>
    <w:rsid w:val="006E79A1"/>
    <w:rsid w:val="006F22C5"/>
    <w:rsid w:val="00714E5F"/>
    <w:rsid w:val="00727B82"/>
    <w:rsid w:val="00731B94"/>
    <w:rsid w:val="00743DBD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36CE"/>
    <w:rsid w:val="007D4F8F"/>
    <w:rsid w:val="007E2B7C"/>
    <w:rsid w:val="007E341B"/>
    <w:rsid w:val="007E5616"/>
    <w:rsid w:val="0080656C"/>
    <w:rsid w:val="008214AA"/>
    <w:rsid w:val="00833030"/>
    <w:rsid w:val="008669BB"/>
    <w:rsid w:val="0087157B"/>
    <w:rsid w:val="00872B9C"/>
    <w:rsid w:val="00881103"/>
    <w:rsid w:val="00884632"/>
    <w:rsid w:val="00885664"/>
    <w:rsid w:val="008862D7"/>
    <w:rsid w:val="00896545"/>
    <w:rsid w:val="008C59F3"/>
    <w:rsid w:val="008E64F2"/>
    <w:rsid w:val="008F7320"/>
    <w:rsid w:val="0090745A"/>
    <w:rsid w:val="00913624"/>
    <w:rsid w:val="00935B80"/>
    <w:rsid w:val="00962881"/>
    <w:rsid w:val="0096390E"/>
    <w:rsid w:val="00964E28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E5E3F"/>
    <w:rsid w:val="009F2D38"/>
    <w:rsid w:val="00A11FB1"/>
    <w:rsid w:val="00A27358"/>
    <w:rsid w:val="00A40D36"/>
    <w:rsid w:val="00A50DCA"/>
    <w:rsid w:val="00A71B3B"/>
    <w:rsid w:val="00A862D1"/>
    <w:rsid w:val="00A92C46"/>
    <w:rsid w:val="00A95374"/>
    <w:rsid w:val="00A9554E"/>
    <w:rsid w:val="00AC4007"/>
    <w:rsid w:val="00AD30D1"/>
    <w:rsid w:val="00AD6B3B"/>
    <w:rsid w:val="00AE7495"/>
    <w:rsid w:val="00AF402E"/>
    <w:rsid w:val="00B05CDA"/>
    <w:rsid w:val="00B064FC"/>
    <w:rsid w:val="00B12C36"/>
    <w:rsid w:val="00B157A6"/>
    <w:rsid w:val="00B40DED"/>
    <w:rsid w:val="00B5791F"/>
    <w:rsid w:val="00B61570"/>
    <w:rsid w:val="00B73DCE"/>
    <w:rsid w:val="00B76BD7"/>
    <w:rsid w:val="00BA06DD"/>
    <w:rsid w:val="00BA6128"/>
    <w:rsid w:val="00BD242F"/>
    <w:rsid w:val="00C11D4F"/>
    <w:rsid w:val="00C1494A"/>
    <w:rsid w:val="00C320BF"/>
    <w:rsid w:val="00C342B1"/>
    <w:rsid w:val="00C36438"/>
    <w:rsid w:val="00C41FAC"/>
    <w:rsid w:val="00C45CE0"/>
    <w:rsid w:val="00C47064"/>
    <w:rsid w:val="00C54E31"/>
    <w:rsid w:val="00C632B6"/>
    <w:rsid w:val="00C83437"/>
    <w:rsid w:val="00C92059"/>
    <w:rsid w:val="00CA096C"/>
    <w:rsid w:val="00CA1656"/>
    <w:rsid w:val="00CD46DB"/>
    <w:rsid w:val="00CE2B93"/>
    <w:rsid w:val="00CE4CA5"/>
    <w:rsid w:val="00CF376A"/>
    <w:rsid w:val="00CF3F8B"/>
    <w:rsid w:val="00CF7B3B"/>
    <w:rsid w:val="00D4359A"/>
    <w:rsid w:val="00D46081"/>
    <w:rsid w:val="00D566D9"/>
    <w:rsid w:val="00D634EC"/>
    <w:rsid w:val="00D63824"/>
    <w:rsid w:val="00D90A1E"/>
    <w:rsid w:val="00D91C18"/>
    <w:rsid w:val="00DA12BA"/>
    <w:rsid w:val="00DB34AD"/>
    <w:rsid w:val="00DB738F"/>
    <w:rsid w:val="00DD01CE"/>
    <w:rsid w:val="00DD09F7"/>
    <w:rsid w:val="00DD0AE0"/>
    <w:rsid w:val="00DE4F77"/>
    <w:rsid w:val="00E066A6"/>
    <w:rsid w:val="00E125B1"/>
    <w:rsid w:val="00E3366C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00170"/>
    <w:rsid w:val="00F03C73"/>
    <w:rsid w:val="00F3357B"/>
    <w:rsid w:val="00F41E1A"/>
    <w:rsid w:val="00F42090"/>
    <w:rsid w:val="00F56C8F"/>
    <w:rsid w:val="00F90EE3"/>
    <w:rsid w:val="00F95108"/>
    <w:rsid w:val="00FA4244"/>
    <w:rsid w:val="00FB18E9"/>
    <w:rsid w:val="00FC6C1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9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uiPriority w:val="99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935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8">
    <w:name w:val="xl128"/>
    <w:basedOn w:val="a"/>
    <w:rsid w:val="00935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9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uiPriority w:val="99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935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8">
    <w:name w:val="xl128"/>
    <w:basedOn w:val="a"/>
    <w:rsid w:val="00935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3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://www.consultant.ru/document/cons_doc_LAW_217542/806a2ec7312bde7c69d00da71451d7ddec7eae1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http://www.consultant.ru/document/cons_doc_LAW_51040/7cb66e0f239f00b0e1d59f167cd46beb2182ece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://www.consultant.ru/document/cons_doc_LAW_51040/2a679030b1fbedead6215f4726b6f38c0f46b8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7b81874f50ed9cd03230f753e5c5a4b03ef9092d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consultantplus://offline/ref=5D5C281A9281C5F26254173545004574C58BCA70030C34BF14B06748B53381BC009CAFCAXBvEB" TargetMode="External"/><Relationship Id="rId31" Type="http://schemas.openxmlformats.org/officeDocument/2006/relationships/hyperlink" Target="http://www.consultant.ru/document/cons_doc_LAW_5142/f670878d88ab83726bd1804b82668b84b027802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570afc6feff03328459242886307d6aebe1ccb6b/" TargetMode="External"/><Relationship Id="rId30" Type="http://schemas.openxmlformats.org/officeDocument/2006/relationships/hyperlink" Target="http://www.consultant.ru/document/cons_doc_LAW_51040/fe0cad704c69e3b97bf615f0437ecf1996a57677/" TargetMode="External"/><Relationship Id="rId35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1F09-37C1-4CB3-B09B-7A5AF1F4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171</Pages>
  <Words>53967</Words>
  <Characters>307614</Characters>
  <Application>Microsoft Office Word</Application>
  <DocSecurity>0</DocSecurity>
  <Lines>2563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61</cp:revision>
  <cp:lastPrinted>2022-11-09T08:24:00Z</cp:lastPrinted>
  <dcterms:created xsi:type="dcterms:W3CDTF">2020-11-18T00:52:00Z</dcterms:created>
  <dcterms:modified xsi:type="dcterms:W3CDTF">2023-03-01T05:29:00Z</dcterms:modified>
</cp:coreProperties>
</file>